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E53" w:rsidRDefault="00B96DC8">
      <w:pPr>
        <w:ind w:left="0" w:hanging="2"/>
        <w:rPr>
          <w:rFonts w:ascii="Tahoma" w:eastAsia="Tahoma" w:hAnsi="Tahoma" w:cs="Tahoma"/>
          <w:b/>
          <w:color w:val="000000"/>
          <w:sz w:val="18"/>
          <w:szCs w:val="1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269875</wp:posOffset>
            </wp:positionH>
            <wp:positionV relativeFrom="paragraph">
              <wp:posOffset>104775</wp:posOffset>
            </wp:positionV>
            <wp:extent cx="733425" cy="723900"/>
            <wp:effectExtent l="0" t="0" r="0" b="0"/>
            <wp:wrapSquare wrapText="bothSides" distT="0" distB="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2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34E53" w:rsidRDefault="00C34E53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080"/>
        </w:tabs>
        <w:spacing w:line="240" w:lineRule="auto"/>
        <w:ind w:left="0" w:right="1872" w:hanging="2"/>
        <w:rPr>
          <w:rFonts w:ascii="Tahoma" w:eastAsia="Tahoma" w:hAnsi="Tahoma" w:cs="Tahoma"/>
          <w:b/>
          <w:color w:val="000000"/>
          <w:sz w:val="18"/>
          <w:szCs w:val="18"/>
        </w:rPr>
      </w:pPr>
    </w:p>
    <w:p w:rsidR="00C34E53" w:rsidRDefault="00B96DC8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45"/>
        </w:tabs>
        <w:spacing w:line="240" w:lineRule="auto"/>
        <w:ind w:left="0" w:right="1872" w:hanging="2"/>
        <w:jc w:val="right"/>
        <w:rPr>
          <w:rFonts w:ascii="Calibri" w:eastAsia="Calibri" w:hAnsi="Calibri" w:cs="Calibri"/>
          <w:b/>
          <w:color w:val="000000"/>
          <w:sz w:val="18"/>
          <w:szCs w:val="18"/>
        </w:rPr>
      </w:pPr>
      <w:r>
        <w:rPr>
          <w:rFonts w:ascii="Tahoma" w:eastAsia="Tahoma" w:hAnsi="Tahoma" w:cs="Tahoma"/>
          <w:b/>
          <w:color w:val="000000"/>
          <w:sz w:val="18"/>
          <w:szCs w:val="18"/>
        </w:rPr>
        <w:t xml:space="preserve">  </w:t>
      </w:r>
      <w:r>
        <w:rPr>
          <w:rFonts w:ascii="Calibri" w:eastAsia="Calibri" w:hAnsi="Calibri" w:cs="Calibri"/>
          <w:b/>
          <w:color w:val="000000"/>
          <w:sz w:val="18"/>
          <w:szCs w:val="18"/>
        </w:rPr>
        <w:t>Carrera de Ciencia Política</w:t>
      </w:r>
    </w:p>
    <w:p w:rsidR="00C34E53" w:rsidRDefault="00B96DC8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45"/>
        </w:tabs>
        <w:spacing w:line="240" w:lineRule="auto"/>
        <w:ind w:left="0" w:right="1872" w:hanging="2"/>
        <w:jc w:val="right"/>
        <w:rPr>
          <w:rFonts w:ascii="Calibri" w:eastAsia="Calibri" w:hAnsi="Calibri" w:cs="Calibri"/>
          <w:b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color w:val="000000"/>
          <w:sz w:val="18"/>
          <w:szCs w:val="18"/>
        </w:rPr>
        <w:t>Facultad de Ciencias Sociales</w:t>
      </w:r>
    </w:p>
    <w:p w:rsidR="00C34E53" w:rsidRDefault="00B96DC8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45"/>
        </w:tabs>
        <w:spacing w:line="240" w:lineRule="auto"/>
        <w:ind w:left="0" w:right="1872" w:hanging="2"/>
        <w:jc w:val="right"/>
        <w:rPr>
          <w:rFonts w:ascii="Calibri" w:eastAsia="Calibri" w:hAnsi="Calibri" w:cs="Calibri"/>
          <w:b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color w:val="000000"/>
          <w:sz w:val="18"/>
          <w:szCs w:val="18"/>
        </w:rPr>
        <w:t xml:space="preserve"> Universidad de Buenos Aires</w:t>
      </w:r>
    </w:p>
    <w:p w:rsidR="00C34E53" w:rsidRDefault="00C34E53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45"/>
        </w:tabs>
        <w:spacing w:line="240" w:lineRule="auto"/>
        <w:ind w:left="0" w:right="1872" w:hanging="2"/>
        <w:jc w:val="right"/>
        <w:rPr>
          <w:rFonts w:ascii="Calibri" w:eastAsia="Calibri" w:hAnsi="Calibri" w:cs="Calibri"/>
          <w:b/>
          <w:color w:val="000000"/>
          <w:sz w:val="18"/>
          <w:szCs w:val="18"/>
        </w:rPr>
      </w:pPr>
    </w:p>
    <w:p w:rsidR="00C34E53" w:rsidRDefault="00C34E53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45"/>
        </w:tabs>
        <w:spacing w:line="240" w:lineRule="auto"/>
        <w:ind w:left="0" w:right="1872" w:hanging="2"/>
        <w:jc w:val="right"/>
        <w:rPr>
          <w:rFonts w:ascii="Calibri" w:eastAsia="Calibri" w:hAnsi="Calibri" w:cs="Calibri"/>
          <w:b/>
          <w:color w:val="000000"/>
          <w:sz w:val="18"/>
          <w:szCs w:val="18"/>
        </w:rPr>
      </w:pPr>
    </w:p>
    <w:p w:rsidR="00C34E53" w:rsidRDefault="00B96DC8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>Metodología de Investigación en Ciencia Política II</w:t>
      </w:r>
    </w:p>
    <w:p w:rsidR="00C34E53" w:rsidRDefault="00B96DC8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Primer cuatrimestre de 2020</w:t>
      </w:r>
    </w:p>
    <w:p w:rsidR="00C34E53" w:rsidRDefault="00C34E53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sz w:val="18"/>
          <w:szCs w:val="18"/>
        </w:rPr>
      </w:pPr>
    </w:p>
    <w:p w:rsidR="00C34E53" w:rsidRDefault="00B96DC8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i/>
          <w:sz w:val="22"/>
          <w:szCs w:val="22"/>
        </w:rPr>
      </w:pPr>
      <w:r>
        <w:rPr>
          <w:rFonts w:ascii="Calibri" w:eastAsia="Calibri" w:hAnsi="Calibri" w:cs="Calibri"/>
          <w:b/>
          <w:i/>
          <w:sz w:val="22"/>
          <w:szCs w:val="22"/>
        </w:rPr>
        <w:t>cronograma para el acompañamiento pedagógico - modalidad virtual</w:t>
      </w:r>
    </w:p>
    <w:p w:rsidR="00C34E53" w:rsidRDefault="00C34E53">
      <w:pPr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C34E53" w:rsidRDefault="00B96DC8">
      <w:pPr>
        <w:ind w:left="0" w:hanging="2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2"/>
          <w:szCs w:val="22"/>
        </w:rPr>
        <w:t xml:space="preserve">e-mail: </w:t>
      </w:r>
      <w:hyperlink r:id="rId10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>metodo2cpol@gmail.com</w:t>
        </w:r>
      </w:hyperlink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:rsidR="00C34E53" w:rsidRDefault="00C34E53">
      <w:pPr>
        <w:ind w:left="0" w:hanging="2"/>
        <w:rPr>
          <w:rFonts w:ascii="Calibri" w:eastAsia="Calibri" w:hAnsi="Calibri" w:cs="Calibri"/>
          <w:sz w:val="20"/>
          <w:szCs w:val="20"/>
        </w:rPr>
      </w:pPr>
    </w:p>
    <w:tbl>
      <w:tblPr>
        <w:tblStyle w:val="a0"/>
        <w:tblW w:w="14802" w:type="dxa"/>
        <w:tblInd w:w="-6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85"/>
        <w:gridCol w:w="7050"/>
        <w:gridCol w:w="6567"/>
      </w:tblGrid>
      <w:tr w:rsidR="00C34E53">
        <w:trPr>
          <w:trHeight w:val="609"/>
        </w:trPr>
        <w:tc>
          <w:tcPr>
            <w:tcW w:w="118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CCCCCC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semana </w:t>
            </w: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fecha</w:t>
            </w:r>
          </w:p>
        </w:tc>
        <w:tc>
          <w:tcPr>
            <w:tcW w:w="70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CCCCCC"/>
          </w:tcPr>
          <w:p w:rsidR="00C34E53" w:rsidRDefault="00B96DC8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TEÓRICOS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CCCCCC"/>
          </w:tcPr>
          <w:p w:rsidR="00C34E53" w:rsidRDefault="00B96DC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PRÁCTICOS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c>
          <w:tcPr>
            <w:tcW w:w="1185" w:type="dxa"/>
            <w:tcBorders>
              <w:top w:val="nil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4 de mayo</w:t>
            </w:r>
          </w:p>
        </w:tc>
        <w:tc>
          <w:tcPr>
            <w:tcW w:w="70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T.1</w:t>
            </w: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Hacer investigación en ciencias sociales: características de la investigación cuantitativa. Formulación del tema, problemas y objetivos de investigación: su articulación con el marco teórico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 w:rsidP="00FF7178">
            <w:pPr>
              <w:numPr>
                <w:ilvl w:val="0"/>
                <w:numId w:val="7"/>
              </w:num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Hernández Sampieri, R. y otros (2006),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 investigación.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Cuarta edición, México DF: McGraw-Hill Interamericana. Cap. 5</w:t>
            </w:r>
          </w:p>
          <w:p w:rsidR="00C34E53" w:rsidRDefault="00B96DC8" w:rsidP="00FF7178">
            <w:pPr>
              <w:numPr>
                <w:ilvl w:val="0"/>
                <w:numId w:val="7"/>
              </w:num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Sautu, R. y otros (2005).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Manual de Metodología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Buenos Aires. Clacso. Capítulo 1 </w:t>
            </w: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65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TP.1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Alliaud, A. (2007)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La biografía escolar en el desempeño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de los docentes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; Documento de Trabajo Nº22, Escuela de Educación, Universidad de San Andrés.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c>
          <w:tcPr>
            <w:tcW w:w="1185" w:type="dxa"/>
            <w:tcBorders>
              <w:top w:val="nil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11 de mayo</w:t>
            </w:r>
          </w:p>
        </w:tc>
        <w:tc>
          <w:tcPr>
            <w:tcW w:w="70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T.2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bookmarkStart w:id="1" w:name="_heading=h.30j0zll" w:colFirst="0" w:colLast="0"/>
            <w:bookmarkEnd w:id="1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Etapas y componentes del diseño de investigación cuantitativa. Características de los diseños experimentales.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4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Babbie, E. (2000),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Manual para la práctica de la investigación social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Desclée De Brouwer, Bilbao. Capítulos 4 y 9</w:t>
            </w:r>
          </w:p>
        </w:tc>
        <w:tc>
          <w:tcPr>
            <w:tcW w:w="65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TP.2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1"/>
              </w:num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Ramos, L.; Oblitas, R.; Zuñiga, A. (2017) “Diseños experimentales para el estudio de la corrupción: conceptos e investig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aciones claves”, Revista de Ciencia Política y Gobierno, vol. 4, no 8, p. 47-68.</w:t>
            </w:r>
          </w:p>
          <w:p w:rsidR="00C34E53" w:rsidRDefault="00C34E53">
            <w:p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rPr>
          <w:trHeight w:val="836"/>
        </w:trPr>
        <w:tc>
          <w:tcPr>
            <w:tcW w:w="1185" w:type="dxa"/>
            <w:tcBorders>
              <w:top w:val="single" w:sz="6" w:space="0" w:color="000000"/>
              <w:left w:val="single" w:sz="18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3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18 de mayo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34E53" w:rsidRDefault="00B96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T.3.</w:t>
            </w:r>
          </w:p>
          <w:p w:rsidR="00C34E53" w:rsidRDefault="00C34E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Principales componentes de la investigación cuantitativa: Universo, unidades de análisis y variables. </w:t>
            </w:r>
          </w:p>
          <w:p w:rsidR="00C34E53" w:rsidRDefault="00C34E53">
            <w:pPr>
              <w:tabs>
                <w:tab w:val="left" w:pos="246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5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Marradi, A.; Archenti, N. y Piovani, J. (2010)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las Ciencias Sociales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Buenos Aires: Cengage Learning. Capítulos 6 y 7 </w:t>
            </w: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FF0000"/>
                <w:sz w:val="22"/>
                <w:szCs w:val="22"/>
              </w:rPr>
              <w:tab/>
            </w: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: </w:t>
            </w:r>
          </w:p>
          <w:p w:rsidR="00C34E53" w:rsidRDefault="00B96DC8">
            <w:pPr>
              <w:numPr>
                <w:ilvl w:val="0"/>
                <w:numId w:val="8"/>
              </w:numPr>
              <w:tabs>
                <w:tab w:val="left" w:pos="214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Murriá, M. y González, C.,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La seguridad ciudadana: instrumentos de análisis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Área de seguridad. 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stitut d`Estudis Regionals i Metropolitans de Barcelona. Universitat Autónoma de Barcelona.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4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25 de mayo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T.4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val="single"/>
              </w:rPr>
              <w:t xml:space="preserve"> </w:t>
            </w:r>
          </w:p>
          <w:p w:rsidR="00C34E53" w:rsidRDefault="00C34E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ariables, categorías e indicadores.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El proceso de operacionalización de las variables complejas.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1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Manheim y Rich (1990)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Análisis político empírico. Métodos de investigación en ciencia política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Madrid: Alianza.  Capítulo 4 </w:t>
            </w:r>
          </w:p>
          <w:p w:rsidR="00C34E53" w:rsidRDefault="00B96DC8">
            <w:pPr>
              <w:numPr>
                <w:ilvl w:val="0"/>
                <w:numId w:val="1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Marradi, A.; Archenti, N. y Piovani, J. (2010)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las Ciencias Sociales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Buenos Aires: Cengage Learning. Capítulo 9 (selección)</w:t>
            </w:r>
          </w:p>
          <w:p w:rsidR="00C34E53" w:rsidRDefault="00C34E53">
            <w:pPr>
              <w:tabs>
                <w:tab w:val="left" w:pos="246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TP.4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iografía </w:t>
            </w:r>
          </w:p>
          <w:p w:rsidR="00C34E53" w:rsidRDefault="00B96DC8">
            <w:pPr>
              <w:numPr>
                <w:ilvl w:val="0"/>
                <w:numId w:val="2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Barreda, M. (2011)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La calidad de la democracia. Un análisis comparado de América Latina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 Política y Gobierno Vol .XVIII, N°2</w:t>
            </w:r>
          </w:p>
        </w:tc>
      </w:tr>
      <w:tr w:rsidR="00C34E53"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5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 de junio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T.5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Índices y tipologías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6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Babbie, E. (2000),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Manual para la práctica de la investigación social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Desclée De Brouwer, Bilbao. Capítulo 7 (selección).</w:t>
            </w:r>
          </w:p>
          <w:p w:rsidR="00C34E53" w:rsidRDefault="00B96DC8">
            <w:pPr>
              <w:numPr>
                <w:ilvl w:val="0"/>
                <w:numId w:val="6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Marradi, A.; Archenti, N. y Piovani, J. (2010)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las Ciencias Sociales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Buenos Aires: Cengage Learning. Capítulo 9 (selección)</w:t>
            </w:r>
          </w:p>
          <w:p w:rsidR="00C34E53" w:rsidRDefault="00C34E53">
            <w:p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</w:tcPr>
          <w:p w:rsidR="00C34E53" w:rsidRDefault="00B96DC8">
            <w:pPr>
              <w:tabs>
                <w:tab w:val="left" w:pos="340"/>
              </w:tabs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 5</w:t>
            </w:r>
          </w:p>
          <w:p w:rsidR="00C34E53" w:rsidRDefault="00C34E53">
            <w:pPr>
              <w:tabs>
                <w:tab w:val="left" w:pos="340"/>
              </w:tabs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tabs>
                <w:tab w:val="left" w:pos="340"/>
              </w:tabs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2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</w:rPr>
              <w:t xml:space="preserve">Índice de desarrollo democrático en América Latina 2016 (IDD- LAT 2016). Fundación Konrad Adenauer. 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Selección de fragmentos. </w:t>
            </w:r>
          </w:p>
          <w:p w:rsidR="00C34E53" w:rsidRDefault="00C34E53">
            <w:p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  <w:highlight w:val="green"/>
              </w:rPr>
            </w:pPr>
          </w:p>
        </w:tc>
      </w:tr>
      <w:tr w:rsidR="00C34E53"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6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8 de junio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T.6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Uso de datos secundarios en la investigación cuantitativa.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 xml:space="preserve">Bibliografía </w:t>
            </w:r>
          </w:p>
          <w:p w:rsidR="00C34E53" w:rsidRDefault="00B96DC8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D’Ancona, C. (1996)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cuantitativa Estrategias y técnicas de investigación social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Madrid: Síntesis. Capítulo 6: “El uso de fuentes documentales y estadísticas” (pp. 220- 238) </w:t>
            </w:r>
          </w:p>
          <w:p w:rsidR="00C34E53" w:rsidRDefault="00B96DC8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Anduiza Perea, E.; Crespo Martínez, I. y Méndez Lago, M. (2009) Metodología de la ciencia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política. Madrid: CIS. Cap. 4: “Los datos”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TP.6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  <w:highlight w:val="red"/>
              </w:rPr>
            </w:pPr>
          </w:p>
        </w:tc>
      </w:tr>
      <w:tr w:rsidR="00C34E53"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7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15 de junio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T.7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Construcción de los datos primarios: encuestas.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9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Bendersky, V. (2018). “Cómo lograr cuestionarios inteligentes (sin pedir peras al olmo)”. En Margen de Error. Luces y Sombras de las Encuestas, EUDEBA, Buenos Aires.</w:t>
            </w:r>
          </w:p>
          <w:p w:rsidR="00C34E53" w:rsidRDefault="00B96DC8">
            <w:pPr>
              <w:numPr>
                <w:ilvl w:val="0"/>
                <w:numId w:val="9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Marradi, A.; Archenti, N. y Piovani, J. (2010)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las Ciencias Sociales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Bueno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 Aires: Cengage Learning. Capítulo 11</w:t>
            </w:r>
          </w:p>
          <w:p w:rsidR="00C34E53" w:rsidRDefault="00C34E53" w:rsidP="00FF7178">
            <w:pPr>
              <w:ind w:left="0" w:hanging="2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TP.7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9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Oliva, M.; Cha, N.; Masello, D y Rosati, G. (2010) Autoidentificación en el espectro ideológico de izquierda y derecha en la Ciudad de Buenos Aires, VI Jornadas de Sociología de la UNLP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C34E53"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8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22 de junio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 8-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u w:val="single"/>
              </w:rPr>
              <w:t xml:space="preserve">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Distintos tipos de muestras aleatorias y no aleatorias. </w:t>
            </w: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Codificación, procesamiento y construcción de la matriz de datos.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Bibliografía </w:t>
            </w:r>
          </w:p>
          <w:p w:rsidR="00C34E53" w:rsidRDefault="00B96DC8">
            <w:pPr>
              <w:numPr>
                <w:ilvl w:val="0"/>
                <w:numId w:val="10"/>
              </w:num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Hernández Sampieri, R. y otros (2006),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Metodología de la investigación.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Cuarta edición, México DF: McGraw-Hill Interamericana. Cap. 8 </w:t>
            </w:r>
          </w:p>
          <w:p w:rsidR="00C34E53" w:rsidRDefault="00C34E53">
            <w:p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TP.8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10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Griselli, L. (1998).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La matriz de datos: la construcción de variables individuales y agregadas.</w:t>
            </w:r>
          </w:p>
          <w:p w:rsidR="00C34E53" w:rsidRDefault="00C34E53">
            <w:p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tabs>
                <w:tab w:val="left" w:pos="246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rPr>
          <w:trHeight w:val="125"/>
        </w:trPr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9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29 de junio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T.9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Análisis univariado: distribuciones de frecuencias absolutas y relativas, medidas de tendencia central 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 xml:space="preserve">Bibliografía </w:t>
            </w:r>
          </w:p>
          <w:p w:rsidR="00C34E53" w:rsidRDefault="00B96DC8">
            <w:pPr>
              <w:numPr>
                <w:ilvl w:val="0"/>
                <w:numId w:val="6"/>
              </w:numPr>
              <w:tabs>
                <w:tab w:val="left" w:pos="387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García Ferrando, M. (1997)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Socioestadística. Introducción a la estadística en sociología.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Madrid: Alianza. Capítulos 1 y 2</w:t>
            </w:r>
          </w:p>
          <w:p w:rsidR="00C34E53" w:rsidRDefault="00C34E53">
            <w:pPr>
              <w:tabs>
                <w:tab w:val="left" w:pos="387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TP.9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ind w:left="0" w:hanging="2"/>
              <w:jc w:val="center"/>
              <w:rPr>
                <w:rFonts w:ascii="Calibri" w:eastAsia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Continuamos trabajando con el texto del TP8.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</w:tr>
      <w:tr w:rsidR="00C34E53">
        <w:trPr>
          <w:trHeight w:val="1903"/>
        </w:trPr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10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6 de julio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T.10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Análisis bivariado: construcción de tablas de contingencia (cuadros), lectura e interpretación. 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10"/>
              </w:num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García Ferrando, M. (1997)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Socioestadística. Introducción a la estadística en sociología.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Madrid: Alianza. Capítulo 7.</w:t>
            </w:r>
          </w:p>
          <w:p w:rsidR="00C34E53" w:rsidRDefault="00B96DC8">
            <w:pPr>
              <w:numPr>
                <w:ilvl w:val="0"/>
                <w:numId w:val="10"/>
              </w:numPr>
              <w:tabs>
                <w:tab w:val="left" w:pos="387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Masseroni, Domínguez y Libonatti (2016),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Análisis de datos cuantitativos en Ciencias Sociales,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Temas de Metodologia N°4, Buenos Aires: Mnemosyne. Páginas 35-52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TP.10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Guía de ejercicios para el análisis bivariado. 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C34E53">
        <w:trPr>
          <w:trHeight w:val="80"/>
        </w:trPr>
        <w:tc>
          <w:tcPr>
            <w:tcW w:w="118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11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13 de julio</w:t>
            </w:r>
          </w:p>
        </w:tc>
        <w:tc>
          <w:tcPr>
            <w:tcW w:w="7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T.11</w:t>
            </w:r>
          </w:p>
          <w:p w:rsidR="00C34E53" w:rsidRDefault="00C34E53">
            <w:pPr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La regresión simple y multivariada.  La lógica de la regresión y la interpretación de los resultados de los análisis de regresión lineal.</w:t>
            </w:r>
          </w:p>
          <w:p w:rsidR="00C34E53" w:rsidRDefault="00C34E53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:rsidR="00C34E53" w:rsidRDefault="00B96DC8">
            <w:pPr>
              <w:ind w:left="0" w:hanging="2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Bibliografía</w:t>
            </w:r>
          </w:p>
          <w:p w:rsidR="00C34E53" w:rsidRDefault="00B96DC8">
            <w:pPr>
              <w:numPr>
                <w:ilvl w:val="0"/>
                <w:numId w:val="1"/>
              </w:num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Berry, W. y Sanders, M. (2000)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Understanding Multivariate Research, Westview Press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 Colorado. Capítulo 1: “Introduction” y Capítulo 2: “The Bivariate Regression Model” (traducción de la Lic. Soledad Camardo para la materia Técnicas de investigación social,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UBA- 2015).</w:t>
            </w:r>
          </w:p>
          <w:p w:rsidR="00C34E53" w:rsidRDefault="00B96DC8">
            <w:pPr>
              <w:numPr>
                <w:ilvl w:val="0"/>
                <w:numId w:val="1"/>
              </w:num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Franklin, M. (2013) “Análisis cuantitativo” en Donatella Della Porta y Michael Keating (eds)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Enfoques y metodologías de las ciencias sociales. Una perspectiva pluralista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Madrid: Akal [Approaches and Methodologies in the Social Sciences A Plur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alist Perspective, 2008]</w:t>
            </w:r>
          </w:p>
          <w:p w:rsidR="00C34E53" w:rsidRDefault="00C34E53" w:rsidP="00FF7178">
            <w:pPr>
              <w:tabs>
                <w:tab w:val="left" w:pos="340"/>
              </w:tabs>
              <w:ind w:left="0" w:hanging="2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  <w:p w:rsidR="00C34E53" w:rsidRDefault="00C34E53">
            <w:pPr>
              <w:tabs>
                <w:tab w:val="left" w:pos="387"/>
              </w:tabs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</w:tcPr>
          <w:p w:rsidR="00C34E53" w:rsidRDefault="00B96DC8">
            <w:pPr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TP.11</w:t>
            </w:r>
          </w:p>
        </w:tc>
      </w:tr>
    </w:tbl>
    <w:p w:rsidR="00C34E53" w:rsidRDefault="00C34E53">
      <w:pPr>
        <w:ind w:left="0" w:hanging="2"/>
        <w:rPr>
          <w:rFonts w:ascii="Tahoma" w:eastAsia="Tahoma" w:hAnsi="Tahoma" w:cs="Tahoma"/>
          <w:sz w:val="22"/>
          <w:szCs w:val="22"/>
        </w:rPr>
      </w:pPr>
    </w:p>
    <w:p w:rsidR="00C34E53" w:rsidRDefault="00C34E53">
      <w:pPr>
        <w:ind w:left="0" w:hanging="2"/>
        <w:rPr>
          <w:rFonts w:ascii="Tahoma" w:eastAsia="Tahoma" w:hAnsi="Tahoma" w:cs="Tahoma"/>
          <w:sz w:val="22"/>
          <w:szCs w:val="22"/>
        </w:rPr>
      </w:pPr>
      <w:bookmarkStart w:id="2" w:name="_heading=h.gjdgxs" w:colFirst="0" w:colLast="0"/>
      <w:bookmarkEnd w:id="2"/>
    </w:p>
    <w:p w:rsidR="00C34E53" w:rsidRDefault="00C34E53">
      <w:pPr>
        <w:ind w:left="0" w:hanging="2"/>
        <w:rPr>
          <w:rFonts w:ascii="Tahoma" w:eastAsia="Tahoma" w:hAnsi="Tahoma" w:cs="Tahoma"/>
          <w:sz w:val="22"/>
          <w:szCs w:val="22"/>
        </w:rPr>
      </w:pPr>
    </w:p>
    <w:sectPr w:rsidR="00C34E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40" w:h="11907"/>
      <w:pgMar w:top="1134" w:right="1418" w:bottom="567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DC8" w:rsidRDefault="00B96DC8" w:rsidP="00FF7178">
      <w:pPr>
        <w:spacing w:line="240" w:lineRule="auto"/>
        <w:ind w:left="0" w:hanging="2"/>
      </w:pPr>
      <w:r>
        <w:separator/>
      </w:r>
    </w:p>
  </w:endnote>
  <w:endnote w:type="continuationSeparator" w:id="0">
    <w:p w:rsidR="00B96DC8" w:rsidRDefault="00B96DC8" w:rsidP="00FF717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C34E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C34E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C34E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DC8" w:rsidRDefault="00B96DC8" w:rsidP="00FF7178">
      <w:pPr>
        <w:spacing w:line="240" w:lineRule="auto"/>
        <w:ind w:left="0" w:hanging="2"/>
      </w:pPr>
      <w:r>
        <w:separator/>
      </w:r>
    </w:p>
  </w:footnote>
  <w:footnote w:type="continuationSeparator" w:id="0">
    <w:p w:rsidR="00B96DC8" w:rsidRDefault="00B96DC8" w:rsidP="00FF717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B96DC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C34E53" w:rsidRDefault="00C34E53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B96DC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Verdana" w:eastAsia="Verdana" w:hAnsi="Verdana" w:cs="Verdana"/>
        <w:color w:val="000000"/>
        <w:sz w:val="20"/>
        <w:szCs w:val="20"/>
      </w:rPr>
    </w:pPr>
    <w:r>
      <w:rPr>
        <w:rFonts w:ascii="Verdana" w:eastAsia="Verdana" w:hAnsi="Verdana" w:cs="Verdana"/>
        <w:b/>
        <w:color w:val="000000"/>
        <w:sz w:val="20"/>
        <w:szCs w:val="20"/>
      </w:rPr>
      <w:fldChar w:fldCharType="begin"/>
    </w:r>
    <w:r>
      <w:rPr>
        <w:rFonts w:ascii="Verdana" w:eastAsia="Verdana" w:hAnsi="Verdana" w:cs="Verdana"/>
        <w:b/>
        <w:color w:val="000000"/>
        <w:sz w:val="20"/>
        <w:szCs w:val="20"/>
      </w:rPr>
      <w:instrText>PAGE</w:instrText>
    </w:r>
    <w:r w:rsidR="00FF7178">
      <w:rPr>
        <w:rFonts w:ascii="Verdana" w:eastAsia="Verdana" w:hAnsi="Verdana" w:cs="Verdana"/>
        <w:b/>
        <w:color w:val="000000"/>
        <w:sz w:val="20"/>
        <w:szCs w:val="20"/>
      </w:rPr>
      <w:fldChar w:fldCharType="separate"/>
    </w:r>
    <w:r w:rsidR="00FF7178">
      <w:rPr>
        <w:rFonts w:ascii="Verdana" w:eastAsia="Verdana" w:hAnsi="Verdana" w:cs="Verdana"/>
        <w:b/>
        <w:noProof/>
        <w:color w:val="000000"/>
        <w:sz w:val="20"/>
        <w:szCs w:val="20"/>
      </w:rPr>
      <w:t>5</w:t>
    </w:r>
    <w:r>
      <w:rPr>
        <w:rFonts w:ascii="Verdana" w:eastAsia="Verdana" w:hAnsi="Verdana" w:cs="Verdana"/>
        <w:b/>
        <w:color w:val="000000"/>
        <w:sz w:val="20"/>
        <w:szCs w:val="20"/>
      </w:rPr>
      <w:fldChar w:fldCharType="end"/>
    </w:r>
  </w:p>
  <w:p w:rsidR="00C34E53" w:rsidRDefault="00C34E53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E53" w:rsidRDefault="00C34E53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42E60"/>
    <w:multiLevelType w:val="multilevel"/>
    <w:tmpl w:val="861434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33A12E3"/>
    <w:multiLevelType w:val="multilevel"/>
    <w:tmpl w:val="61520D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69C2AD4"/>
    <w:multiLevelType w:val="multilevel"/>
    <w:tmpl w:val="9798101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405C581E"/>
    <w:multiLevelType w:val="multilevel"/>
    <w:tmpl w:val="80B29D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1A175C5"/>
    <w:multiLevelType w:val="multilevel"/>
    <w:tmpl w:val="98EE56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C8F592B"/>
    <w:multiLevelType w:val="multilevel"/>
    <w:tmpl w:val="12C09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6AD74DF"/>
    <w:multiLevelType w:val="multilevel"/>
    <w:tmpl w:val="E65275DE"/>
    <w:lvl w:ilvl="0">
      <w:start w:val="1"/>
      <w:numFmt w:val="bullet"/>
      <w:lvlText w:val="●"/>
      <w:lvlJc w:val="left"/>
      <w:pPr>
        <w:ind w:left="599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▪"/>
      <w:lvlJc w:val="left"/>
      <w:pPr>
        <w:ind w:left="1319" w:hanging="360"/>
      </w:pPr>
      <w:rPr>
        <w:rFonts w:ascii="Courier New" w:eastAsia="Courier New" w:hAnsi="Courier New" w:cs="Courier New"/>
        <w:color w:val="000000"/>
        <w:vertAlign w:val="baseline"/>
      </w:rPr>
    </w:lvl>
    <w:lvl w:ilvl="2">
      <w:start w:val="1"/>
      <w:numFmt w:val="bullet"/>
      <w:lvlText w:val="-"/>
      <w:lvlJc w:val="left"/>
      <w:pPr>
        <w:ind w:left="2039" w:hanging="360"/>
      </w:pPr>
      <w:rPr>
        <w:rFonts w:ascii="Tahoma" w:eastAsia="Tahoma" w:hAnsi="Tahoma" w:cs="Tahoma"/>
        <w:color w:val="000000"/>
        <w:sz w:val="22"/>
        <w:szCs w:val="22"/>
        <w:vertAlign w:val="baseline"/>
      </w:rPr>
    </w:lvl>
    <w:lvl w:ilvl="3">
      <w:start w:val="1"/>
      <w:numFmt w:val="bullet"/>
      <w:lvlText w:val="●"/>
      <w:lvlJc w:val="left"/>
      <w:pPr>
        <w:ind w:left="2759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4">
      <w:start w:val="1"/>
      <w:numFmt w:val="bullet"/>
      <w:lvlText w:val="o"/>
      <w:lvlJc w:val="left"/>
      <w:pPr>
        <w:ind w:left="347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19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91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63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35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1E25E84"/>
    <w:multiLevelType w:val="multilevel"/>
    <w:tmpl w:val="735044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3EA6297"/>
    <w:multiLevelType w:val="multilevel"/>
    <w:tmpl w:val="FE1E84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740B249D"/>
    <w:multiLevelType w:val="multilevel"/>
    <w:tmpl w:val="CA70E6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1"/>
  </w:num>
  <w:num w:numId="8">
    <w:abstractNumId w:val="9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34E53"/>
    <w:rsid w:val="00B96DC8"/>
    <w:rsid w:val="00C34E53"/>
    <w:rsid w:val="00FF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  <w:widowControl w:val="0"/>
      <w:autoSpaceDE w:val="0"/>
      <w:autoSpaceDN w:val="0"/>
    </w:pPr>
    <w:rPr>
      <w:b/>
      <w:bCs/>
      <w:sz w:val="22"/>
      <w:szCs w:val="22"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outlineLvl w:val="2"/>
    </w:pPr>
    <w:rPr>
      <w:rFonts w:ascii="Tahoma" w:hAnsi="Tahoma" w:cs="Tahoma"/>
      <w:b/>
      <w:bCs/>
      <w:sz w:val="20"/>
      <w:szCs w:val="20"/>
    </w:rPr>
  </w:style>
  <w:style w:type="paragraph" w:styleId="Ttulo4">
    <w:name w:val="heading 4"/>
    <w:basedOn w:val="Normal"/>
    <w:next w:val="Normal"/>
    <w:pPr>
      <w:keepNext/>
      <w:widowControl w:val="0"/>
      <w:autoSpaceDE w:val="0"/>
      <w:autoSpaceDN w:val="0"/>
      <w:jc w:val="center"/>
      <w:outlineLvl w:val="3"/>
    </w:pPr>
    <w:rPr>
      <w:rFonts w:ascii="Tahoma" w:hAnsi="Tahoma" w:cs="Tahoma"/>
      <w:b/>
      <w:bCs/>
      <w:sz w:val="22"/>
      <w:szCs w:val="22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rCar5">
    <w:name w:val="Car Car5"/>
    <w:rPr>
      <w:rFonts w:ascii="Times New Roman" w:eastAsia="Times New Roman" w:hAnsi="Times New Roman" w:cs="Times New Roman"/>
      <w:b/>
      <w:bCs/>
      <w:w w:val="100"/>
      <w:position w:val="-1"/>
      <w:effect w:val="none"/>
      <w:vertAlign w:val="baseline"/>
      <w:cs w:val="0"/>
      <w:em w:val="none"/>
      <w:lang w:eastAsia="es-ES"/>
    </w:rPr>
  </w:style>
  <w:style w:type="character" w:customStyle="1" w:styleId="CarCar4">
    <w:name w:val="Car Car4"/>
    <w:rPr>
      <w:rFonts w:ascii="Arial" w:eastAsia="Times New Roman" w:hAnsi="Arial" w:cs="Arial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  <w:lang w:val="es-ES" w:eastAsia="es-ES"/>
    </w:rPr>
  </w:style>
  <w:style w:type="character" w:customStyle="1" w:styleId="CarCar3">
    <w:name w:val="Car Car3"/>
    <w:rPr>
      <w:rFonts w:ascii="Tahoma" w:eastAsia="Times New Roman" w:hAnsi="Tahoma" w:cs="Tahoma"/>
      <w:b/>
      <w:bCs/>
      <w:w w:val="100"/>
      <w:position w:val="-1"/>
      <w:effect w:val="none"/>
      <w:vertAlign w:val="baseline"/>
      <w:cs w:val="0"/>
      <w:em w:val="none"/>
      <w:lang w:eastAsia="es-ES"/>
    </w:rPr>
  </w:style>
  <w:style w:type="paragraph" w:styleId="Textoindependiente2">
    <w:name w:val="Body Text 2"/>
    <w:basedOn w:val="Normal"/>
    <w:rPr>
      <w:u w:val="single"/>
    </w:rPr>
  </w:style>
  <w:style w:type="character" w:customStyle="1" w:styleId="CarCar2">
    <w:name w:val="Car Car2"/>
    <w:rPr>
      <w:rFonts w:ascii="Times New Roman" w:eastAsia="Times New Roman" w:hAnsi="Times New Roman" w:cs="Times New Roman"/>
      <w:w w:val="100"/>
      <w:position w:val="-1"/>
      <w:sz w:val="24"/>
      <w:szCs w:val="24"/>
      <w:u w:val="single"/>
      <w:effect w:val="none"/>
      <w:vertAlign w:val="baseline"/>
      <w:cs w:val="0"/>
      <w:em w:val="none"/>
      <w:lang w:val="es-ES" w:eastAsia="es-ES"/>
    </w:rPr>
  </w:style>
  <w:style w:type="paragraph" w:styleId="Encabezado">
    <w:name w:val="header"/>
    <w:basedOn w:val="Normal"/>
    <w:pPr>
      <w:autoSpaceDE w:val="0"/>
      <w:autoSpaceDN w:val="0"/>
    </w:pPr>
  </w:style>
  <w:style w:type="character" w:customStyle="1" w:styleId="CarCar1">
    <w:name w:val="Car Car1"/>
    <w:rPr>
      <w:rFonts w:ascii="Times New Roman" w:eastAsia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estilo941">
    <w:name w:val="estilo941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estilo971">
    <w:name w:val="estilo971"/>
    <w:rPr>
      <w:i/>
      <w:i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CarCar">
    <w:name w:val="Car C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rPr>
      <w:sz w:val="20"/>
      <w:szCs w:val="20"/>
    </w:rPr>
  </w:style>
  <w:style w:type="character" w:customStyle="1" w:styleId="TextonotapieCar">
    <w:name w:val="Texto nota pie C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Refdenotaalpi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  <w:widowControl w:val="0"/>
      <w:autoSpaceDE w:val="0"/>
      <w:autoSpaceDN w:val="0"/>
    </w:pPr>
    <w:rPr>
      <w:b/>
      <w:bCs/>
      <w:sz w:val="22"/>
      <w:szCs w:val="22"/>
    </w:rPr>
  </w:style>
  <w:style w:type="paragraph" w:styleId="Ttulo2">
    <w:name w:val="heading 2"/>
    <w:basedOn w:val="Normal"/>
    <w:next w:val="Normal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pPr>
      <w:keepNext/>
      <w:outlineLvl w:val="2"/>
    </w:pPr>
    <w:rPr>
      <w:rFonts w:ascii="Tahoma" w:hAnsi="Tahoma" w:cs="Tahoma"/>
      <w:b/>
      <w:bCs/>
      <w:sz w:val="20"/>
      <w:szCs w:val="20"/>
    </w:rPr>
  </w:style>
  <w:style w:type="paragraph" w:styleId="Ttulo4">
    <w:name w:val="heading 4"/>
    <w:basedOn w:val="Normal"/>
    <w:next w:val="Normal"/>
    <w:pPr>
      <w:keepNext/>
      <w:widowControl w:val="0"/>
      <w:autoSpaceDE w:val="0"/>
      <w:autoSpaceDN w:val="0"/>
      <w:jc w:val="center"/>
      <w:outlineLvl w:val="3"/>
    </w:pPr>
    <w:rPr>
      <w:rFonts w:ascii="Tahoma" w:hAnsi="Tahoma" w:cs="Tahoma"/>
      <w:b/>
      <w:bCs/>
      <w:sz w:val="22"/>
      <w:szCs w:val="22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rCar5">
    <w:name w:val="Car Car5"/>
    <w:rPr>
      <w:rFonts w:ascii="Times New Roman" w:eastAsia="Times New Roman" w:hAnsi="Times New Roman" w:cs="Times New Roman"/>
      <w:b/>
      <w:bCs/>
      <w:w w:val="100"/>
      <w:position w:val="-1"/>
      <w:effect w:val="none"/>
      <w:vertAlign w:val="baseline"/>
      <w:cs w:val="0"/>
      <w:em w:val="none"/>
      <w:lang w:eastAsia="es-ES"/>
    </w:rPr>
  </w:style>
  <w:style w:type="character" w:customStyle="1" w:styleId="CarCar4">
    <w:name w:val="Car Car4"/>
    <w:rPr>
      <w:rFonts w:ascii="Arial" w:eastAsia="Times New Roman" w:hAnsi="Arial" w:cs="Arial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  <w:lang w:val="es-ES" w:eastAsia="es-ES"/>
    </w:rPr>
  </w:style>
  <w:style w:type="character" w:customStyle="1" w:styleId="CarCar3">
    <w:name w:val="Car Car3"/>
    <w:rPr>
      <w:rFonts w:ascii="Tahoma" w:eastAsia="Times New Roman" w:hAnsi="Tahoma" w:cs="Tahoma"/>
      <w:b/>
      <w:bCs/>
      <w:w w:val="100"/>
      <w:position w:val="-1"/>
      <w:effect w:val="none"/>
      <w:vertAlign w:val="baseline"/>
      <w:cs w:val="0"/>
      <w:em w:val="none"/>
      <w:lang w:eastAsia="es-ES"/>
    </w:rPr>
  </w:style>
  <w:style w:type="paragraph" w:styleId="Textoindependiente2">
    <w:name w:val="Body Text 2"/>
    <w:basedOn w:val="Normal"/>
    <w:rPr>
      <w:u w:val="single"/>
    </w:rPr>
  </w:style>
  <w:style w:type="character" w:customStyle="1" w:styleId="CarCar2">
    <w:name w:val="Car Car2"/>
    <w:rPr>
      <w:rFonts w:ascii="Times New Roman" w:eastAsia="Times New Roman" w:hAnsi="Times New Roman" w:cs="Times New Roman"/>
      <w:w w:val="100"/>
      <w:position w:val="-1"/>
      <w:sz w:val="24"/>
      <w:szCs w:val="24"/>
      <w:u w:val="single"/>
      <w:effect w:val="none"/>
      <w:vertAlign w:val="baseline"/>
      <w:cs w:val="0"/>
      <w:em w:val="none"/>
      <w:lang w:val="es-ES" w:eastAsia="es-ES"/>
    </w:rPr>
  </w:style>
  <w:style w:type="paragraph" w:styleId="Encabezado">
    <w:name w:val="header"/>
    <w:basedOn w:val="Normal"/>
    <w:pPr>
      <w:autoSpaceDE w:val="0"/>
      <w:autoSpaceDN w:val="0"/>
    </w:pPr>
  </w:style>
  <w:style w:type="character" w:customStyle="1" w:styleId="CarCar1">
    <w:name w:val="Car Car1"/>
    <w:rPr>
      <w:rFonts w:ascii="Times New Roman" w:eastAsia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estilo941">
    <w:name w:val="estilo941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estilo971">
    <w:name w:val="estilo971"/>
    <w:rPr>
      <w:i/>
      <w:i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CarCar">
    <w:name w:val="Car Car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rPr>
      <w:sz w:val="20"/>
      <w:szCs w:val="20"/>
    </w:rPr>
  </w:style>
  <w:style w:type="character" w:customStyle="1" w:styleId="TextonotapieCar">
    <w:name w:val="Texto nota pie C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Refdenotaalpi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metodo2cpol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fzPChO2iQy+WcXRtzIM/D0BNJw==">AMUW2mUeb7fvgyfCMBkq2DE83tXsCT539U6TsBOuZ/Qcw4ll3fhbfVe7nkHS3BD5i3R9Odw/onvADfUy1EuC3GHLH5CMR3K0ldoaf9b6rALXPi+FzSMlrgvKIgeMQHjNBfU4efxsFa48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912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Santiago</cp:lastModifiedBy>
  <cp:revision>2</cp:revision>
  <dcterms:created xsi:type="dcterms:W3CDTF">2020-05-05T17:28:00Z</dcterms:created>
  <dcterms:modified xsi:type="dcterms:W3CDTF">2020-05-05T17:28:00Z</dcterms:modified>
</cp:coreProperties>
</file>